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ED5C8" w14:textId="54A4C8AE" w:rsidR="00CF5B55" w:rsidRPr="00CF5B55" w:rsidRDefault="00CF5B55" w:rsidP="00CF5B55">
      <w:pPr>
        <w:pStyle w:val="Title"/>
        <w:jc w:val="left"/>
        <w:rPr>
          <w:rFonts w:ascii="Arial" w:hAnsi="Arial"/>
          <w:sz w:val="28"/>
        </w:rPr>
      </w:pPr>
      <w:r w:rsidRPr="00CF5B55">
        <w:rPr>
          <w:rFonts w:ascii="Arial" w:hAnsi="Arial"/>
          <w:sz w:val="28"/>
        </w:rPr>
        <w:t>Issuance No:</w:t>
      </w:r>
      <w:r w:rsidRPr="00CF5B55">
        <w:rPr>
          <w:rFonts w:ascii="Arial" w:hAnsi="Arial"/>
          <w:sz w:val="28"/>
        </w:rPr>
        <w:tab/>
        <w:t>A</w:t>
      </w:r>
      <w:r w:rsidR="00675EA4">
        <w:rPr>
          <w:rFonts w:ascii="Arial" w:hAnsi="Arial"/>
          <w:sz w:val="28"/>
        </w:rPr>
        <w:t>-</w:t>
      </w:r>
      <w:r w:rsidRPr="00CF5B55">
        <w:rPr>
          <w:rFonts w:ascii="Arial" w:hAnsi="Arial"/>
          <w:sz w:val="28"/>
        </w:rPr>
        <w:t>1</w:t>
      </w:r>
      <w:r w:rsidR="00675EA4">
        <w:rPr>
          <w:rFonts w:ascii="Arial" w:hAnsi="Arial"/>
          <w:sz w:val="28"/>
        </w:rPr>
        <w:t>4</w:t>
      </w:r>
    </w:p>
    <w:p w14:paraId="1CCC1A52" w14:textId="7315A6EE" w:rsidR="00CF5B55" w:rsidRPr="00CF5B55" w:rsidRDefault="00CF5B55" w:rsidP="00CF5B55">
      <w:pPr>
        <w:pStyle w:val="Title"/>
        <w:jc w:val="left"/>
        <w:rPr>
          <w:rFonts w:ascii="Arial" w:hAnsi="Arial"/>
          <w:color w:val="FF0000"/>
          <w:sz w:val="28"/>
        </w:rPr>
      </w:pPr>
      <w:r w:rsidRPr="00CF5B55">
        <w:rPr>
          <w:rFonts w:ascii="Arial" w:hAnsi="Arial"/>
          <w:sz w:val="28"/>
        </w:rPr>
        <w:t>Issuance Date:</w:t>
      </w:r>
      <w:r w:rsidRPr="00CF5B55">
        <w:rPr>
          <w:rFonts w:ascii="Arial" w:hAnsi="Arial"/>
          <w:sz w:val="28"/>
        </w:rPr>
        <w:tab/>
      </w:r>
      <w:r w:rsidR="00464B80">
        <w:rPr>
          <w:rFonts w:ascii="Arial" w:hAnsi="Arial"/>
          <w:sz w:val="28"/>
        </w:rPr>
        <w:t>7/1/2023</w:t>
      </w:r>
    </w:p>
    <w:p w14:paraId="5D1A8C43" w14:textId="0616205E" w:rsidR="00CF5B55" w:rsidRPr="00CF5B55" w:rsidRDefault="00CF5B55" w:rsidP="00CF5B55">
      <w:pPr>
        <w:pStyle w:val="Title"/>
        <w:pBdr>
          <w:bottom w:val="single" w:sz="6" w:space="1" w:color="auto"/>
        </w:pBdr>
        <w:jc w:val="left"/>
        <w:rPr>
          <w:rFonts w:ascii="Arial" w:hAnsi="Arial"/>
          <w:sz w:val="28"/>
        </w:rPr>
      </w:pPr>
      <w:r w:rsidRPr="00CF5B55">
        <w:rPr>
          <w:rFonts w:ascii="Arial" w:hAnsi="Arial"/>
          <w:sz w:val="28"/>
        </w:rPr>
        <w:t>Subject:</w:t>
      </w:r>
      <w:r w:rsidRPr="00CF5B55">
        <w:rPr>
          <w:rFonts w:ascii="Arial" w:hAnsi="Arial"/>
          <w:sz w:val="28"/>
        </w:rPr>
        <w:tab/>
      </w:r>
      <w:r w:rsidRPr="00CF5B55">
        <w:rPr>
          <w:rFonts w:ascii="Arial" w:hAnsi="Arial"/>
          <w:sz w:val="28"/>
        </w:rPr>
        <w:tab/>
      </w:r>
      <w:r>
        <w:rPr>
          <w:rFonts w:ascii="Arial" w:hAnsi="Arial"/>
          <w:sz w:val="28"/>
        </w:rPr>
        <w:t>Property Management/</w:t>
      </w:r>
      <w:r w:rsidRPr="00CF5B55">
        <w:rPr>
          <w:rFonts w:ascii="Arial" w:hAnsi="Arial"/>
          <w:sz w:val="28"/>
        </w:rPr>
        <w:t>Inventory Policy</w:t>
      </w:r>
      <w:r w:rsidRPr="00CF5B55">
        <w:rPr>
          <w:rFonts w:ascii="Arial" w:hAnsi="Arial"/>
          <w:sz w:val="28"/>
        </w:rPr>
        <w:tab/>
      </w:r>
    </w:p>
    <w:p w14:paraId="5E83C353" w14:textId="77777777" w:rsidR="00CF5B55" w:rsidRDefault="00CF5B55" w:rsidP="00CF5B55">
      <w:pPr>
        <w:pStyle w:val="Title"/>
        <w:pBdr>
          <w:bottom w:val="single" w:sz="6" w:space="1" w:color="auto"/>
        </w:pBdr>
        <w:jc w:val="left"/>
        <w:rPr>
          <w:rFonts w:ascii="Tahoma" w:hAnsi="Tahoma" w:cs="Tahoma"/>
          <w:sz w:val="28"/>
        </w:rPr>
      </w:pPr>
    </w:p>
    <w:p w14:paraId="58DFA974" w14:textId="77777777" w:rsidR="00CF5B55" w:rsidRDefault="00CF5B55" w:rsidP="00CF5B55">
      <w:pPr>
        <w:rPr>
          <w:rFonts w:ascii="Arial" w:hAnsi="Arial" w:cs="Arial"/>
        </w:rPr>
      </w:pPr>
    </w:p>
    <w:p w14:paraId="05403CBD" w14:textId="3E45DF89" w:rsidR="00CF5B55" w:rsidRPr="00CF5B55" w:rsidRDefault="00CF5B55" w:rsidP="00CF5B55">
      <w:pPr>
        <w:rPr>
          <w:rFonts w:ascii="Arial" w:hAnsi="Arial" w:cs="Arial"/>
        </w:rPr>
      </w:pPr>
      <w:r w:rsidRPr="00CF5B55">
        <w:rPr>
          <w:rFonts w:ascii="Arial" w:hAnsi="Arial" w:cs="Arial"/>
        </w:rPr>
        <w:t xml:space="preserve">Property means real or personal property. Uniform Guidance 2 CFR 200.310-316 shall be </w:t>
      </w:r>
      <w:r>
        <w:rPr>
          <w:rFonts w:ascii="Arial" w:hAnsi="Arial" w:cs="Arial"/>
        </w:rPr>
        <w:t xml:space="preserve">used </w:t>
      </w:r>
      <w:r w:rsidRPr="00CF5B55">
        <w:rPr>
          <w:rFonts w:ascii="Arial" w:hAnsi="Arial" w:cs="Arial"/>
        </w:rPr>
        <w:t xml:space="preserve">for guidance on Property Standards.  </w:t>
      </w:r>
    </w:p>
    <w:p w14:paraId="6BF6E24F" w14:textId="77777777" w:rsidR="00CF5B55" w:rsidRPr="00CF5B55" w:rsidRDefault="00CF5B55" w:rsidP="00CF5B55">
      <w:pPr>
        <w:pStyle w:val="Title"/>
        <w:jc w:val="left"/>
        <w:rPr>
          <w:rFonts w:ascii="Arial" w:hAnsi="Arial"/>
          <w:sz w:val="28"/>
        </w:rPr>
      </w:pPr>
    </w:p>
    <w:p w14:paraId="3007C666" w14:textId="77777777" w:rsidR="00CF5B55" w:rsidRPr="00CF5B55" w:rsidRDefault="00CF5B55" w:rsidP="00CF5B55">
      <w:pPr>
        <w:rPr>
          <w:rFonts w:ascii="Arial" w:hAnsi="Arial" w:cs="Arial"/>
          <w:b/>
          <w:bCs/>
          <w:u w:val="single"/>
        </w:rPr>
      </w:pPr>
      <w:r w:rsidRPr="00CF5B55">
        <w:rPr>
          <w:rFonts w:ascii="Arial" w:hAnsi="Arial" w:cs="Arial"/>
          <w:b/>
          <w:bCs/>
          <w:u w:val="single"/>
        </w:rPr>
        <w:t>Definition:</w:t>
      </w:r>
    </w:p>
    <w:p w14:paraId="3AC80B8D" w14:textId="753ECC67" w:rsidR="00CF5B55" w:rsidRPr="00CF5B55" w:rsidRDefault="00CF5B55" w:rsidP="00CF5B55">
      <w:pPr>
        <w:rPr>
          <w:rFonts w:ascii="Arial" w:hAnsi="Arial" w:cs="Arial"/>
        </w:rPr>
      </w:pPr>
      <w:r w:rsidRPr="00CF5B55">
        <w:rPr>
          <w:rFonts w:ascii="Arial" w:hAnsi="Arial" w:cs="Arial"/>
          <w:b/>
          <w:i/>
        </w:rPr>
        <w:t>Equipment,</w:t>
      </w:r>
      <w:r w:rsidRPr="00CF5B55">
        <w:rPr>
          <w:rFonts w:ascii="Arial" w:hAnsi="Arial" w:cs="Arial"/>
        </w:rPr>
        <w:t xml:space="preserve"> as defined in 2 CFR 200.1, means “tangible personal property (including information technology systems) having a useful life of more than one year and a per-unit acquisition cost which equals or exceeds the lesser of the capitalization level established by the </w:t>
      </w:r>
      <w:r w:rsidR="00E745EF" w:rsidRPr="00E745EF">
        <w:rPr>
          <w:rFonts w:ascii="Arial" w:hAnsi="Arial" w:cs="Arial"/>
          <w:highlight w:val="yellow"/>
        </w:rPr>
        <w:t xml:space="preserve">recipient </w:t>
      </w:r>
      <w:r w:rsidR="00252D33">
        <w:rPr>
          <w:rFonts w:ascii="Arial" w:hAnsi="Arial" w:cs="Arial"/>
          <w:highlight w:val="yellow"/>
        </w:rPr>
        <w:t>or</w:t>
      </w:r>
      <w:r w:rsidR="00E745EF" w:rsidRPr="00E745EF">
        <w:rPr>
          <w:rFonts w:ascii="Arial" w:hAnsi="Arial" w:cs="Arial"/>
          <w:highlight w:val="yellow"/>
        </w:rPr>
        <w:t xml:space="preserve"> subrecipient</w:t>
      </w:r>
      <w:r w:rsidRPr="00CF5B55">
        <w:rPr>
          <w:rFonts w:ascii="Arial" w:hAnsi="Arial" w:cs="Arial"/>
        </w:rPr>
        <w:t xml:space="preserve"> for financial statement purposes, or </w:t>
      </w:r>
      <w:r w:rsidRPr="00D4232C">
        <w:rPr>
          <w:rFonts w:ascii="Arial" w:hAnsi="Arial" w:cs="Arial"/>
          <w:highlight w:val="yellow"/>
        </w:rPr>
        <w:t>$</w:t>
      </w:r>
      <w:r w:rsidR="00D4232C">
        <w:rPr>
          <w:rFonts w:ascii="Arial" w:hAnsi="Arial" w:cs="Arial"/>
          <w:highlight w:val="yellow"/>
        </w:rPr>
        <w:t>10</w:t>
      </w:r>
      <w:r w:rsidRPr="00D4232C">
        <w:rPr>
          <w:rFonts w:ascii="Arial" w:hAnsi="Arial" w:cs="Arial"/>
          <w:highlight w:val="yellow"/>
        </w:rPr>
        <w:t>,000</w:t>
      </w:r>
      <w:r w:rsidRPr="00CF5B55">
        <w:rPr>
          <w:rFonts w:ascii="Arial" w:hAnsi="Arial" w:cs="Arial"/>
        </w:rPr>
        <w:t xml:space="preserve">.”    </w:t>
      </w:r>
    </w:p>
    <w:p w14:paraId="2770036E" w14:textId="77777777" w:rsidR="00CF5B55" w:rsidRPr="00CF5B55" w:rsidRDefault="00CF5B55" w:rsidP="00CF5B55">
      <w:pPr>
        <w:rPr>
          <w:rFonts w:ascii="Arial" w:hAnsi="Arial" w:cs="Arial"/>
        </w:rPr>
      </w:pPr>
    </w:p>
    <w:p w14:paraId="0F405952" w14:textId="5C13395F" w:rsidR="00CF5B55" w:rsidRPr="00CF5B55" w:rsidRDefault="00CF5B55" w:rsidP="00CF5B55">
      <w:pPr>
        <w:rPr>
          <w:rFonts w:ascii="Arial" w:hAnsi="Arial" w:cs="Arial"/>
          <w:b/>
          <w:bCs/>
          <w:u w:val="single"/>
        </w:rPr>
      </w:pPr>
      <w:r w:rsidRPr="00CF5B55">
        <w:rPr>
          <w:rFonts w:ascii="Arial" w:hAnsi="Arial" w:cs="Arial"/>
          <w:b/>
          <w:i/>
        </w:rPr>
        <w:t>Supplies</w:t>
      </w:r>
      <w:r w:rsidRPr="00CF5B55">
        <w:rPr>
          <w:rFonts w:ascii="Arial" w:hAnsi="Arial" w:cs="Arial"/>
        </w:rPr>
        <w:t xml:space="preserve">, as defined in 2 CFR 200.1, means “all tangible personal property other than those described in the definition of equipment. A computing device is a supply if the acquisition cost is </w:t>
      </w:r>
      <w:r w:rsidR="00B80989" w:rsidRPr="00B80989">
        <w:rPr>
          <w:rFonts w:ascii="Arial" w:hAnsi="Arial" w:cs="Arial"/>
          <w:highlight w:val="yellow"/>
        </w:rPr>
        <w:t>below</w:t>
      </w:r>
      <w:r w:rsidR="00B80989">
        <w:rPr>
          <w:rFonts w:ascii="Arial" w:hAnsi="Arial" w:cs="Arial"/>
        </w:rPr>
        <w:t xml:space="preserve"> </w:t>
      </w:r>
      <w:r w:rsidRPr="00CF5B55">
        <w:rPr>
          <w:rFonts w:ascii="Arial" w:hAnsi="Arial" w:cs="Arial"/>
        </w:rPr>
        <w:t xml:space="preserve">the lesser of the capitalization level established by the </w:t>
      </w:r>
      <w:r w:rsidR="00E745EF" w:rsidRPr="00E745EF">
        <w:rPr>
          <w:rFonts w:ascii="Arial" w:hAnsi="Arial" w:cs="Arial"/>
          <w:highlight w:val="yellow"/>
        </w:rPr>
        <w:t xml:space="preserve">recipient </w:t>
      </w:r>
      <w:r w:rsidR="00B80989">
        <w:rPr>
          <w:rFonts w:ascii="Arial" w:hAnsi="Arial" w:cs="Arial"/>
          <w:highlight w:val="yellow"/>
        </w:rPr>
        <w:t>or</w:t>
      </w:r>
      <w:r w:rsidR="00E745EF" w:rsidRPr="00E745EF">
        <w:rPr>
          <w:rFonts w:ascii="Arial" w:hAnsi="Arial" w:cs="Arial"/>
          <w:highlight w:val="yellow"/>
        </w:rPr>
        <w:t xml:space="preserve"> subrecipient</w:t>
      </w:r>
      <w:r w:rsidRPr="00CF5B55">
        <w:rPr>
          <w:rFonts w:ascii="Arial" w:hAnsi="Arial" w:cs="Arial"/>
        </w:rPr>
        <w:t xml:space="preserve"> for financial statement purposes or</w:t>
      </w:r>
      <w:r w:rsidR="00585721">
        <w:rPr>
          <w:rFonts w:ascii="Arial" w:hAnsi="Arial" w:cs="Arial"/>
        </w:rPr>
        <w:t xml:space="preserve"> </w:t>
      </w:r>
      <w:r w:rsidR="00585721" w:rsidRPr="00252D33">
        <w:rPr>
          <w:rFonts w:ascii="Arial" w:hAnsi="Arial" w:cs="Arial"/>
          <w:highlight w:val="yellow"/>
        </w:rPr>
        <w:t>$</w:t>
      </w:r>
      <w:r w:rsidR="00252D33" w:rsidRPr="00252D33">
        <w:rPr>
          <w:rFonts w:ascii="Arial" w:hAnsi="Arial" w:cs="Arial"/>
          <w:highlight w:val="yellow"/>
        </w:rPr>
        <w:t>10,000</w:t>
      </w:r>
      <w:r w:rsidR="00DB1AC0">
        <w:rPr>
          <w:rFonts w:ascii="Arial" w:hAnsi="Arial" w:cs="Arial"/>
        </w:rPr>
        <w:t>,</w:t>
      </w:r>
      <w:r w:rsidR="00585721">
        <w:rPr>
          <w:rFonts w:ascii="Arial" w:hAnsi="Arial" w:cs="Arial"/>
        </w:rPr>
        <w:t xml:space="preserve"> </w:t>
      </w:r>
      <w:r w:rsidRPr="00CF5B55">
        <w:rPr>
          <w:rFonts w:ascii="Arial" w:hAnsi="Arial" w:cs="Arial"/>
        </w:rPr>
        <w:t xml:space="preserve">regardless of the length of its useful life.” Thus, all tangible personal property acquired with a per-unit fair market value of less than </w:t>
      </w:r>
      <w:r w:rsidRPr="00DB1AC0">
        <w:rPr>
          <w:rFonts w:ascii="Arial" w:hAnsi="Arial" w:cs="Arial"/>
          <w:highlight w:val="yellow"/>
        </w:rPr>
        <w:t>$</w:t>
      </w:r>
      <w:r w:rsidR="00DB1AC0" w:rsidRPr="00DB1AC0">
        <w:rPr>
          <w:rFonts w:ascii="Arial" w:hAnsi="Arial" w:cs="Arial"/>
          <w:highlight w:val="yellow"/>
        </w:rPr>
        <w:t>10</w:t>
      </w:r>
      <w:r w:rsidRPr="00DB1AC0">
        <w:rPr>
          <w:rFonts w:ascii="Arial" w:hAnsi="Arial" w:cs="Arial"/>
          <w:highlight w:val="yellow"/>
        </w:rPr>
        <w:t>,000</w:t>
      </w:r>
      <w:r w:rsidRPr="00CF5B55">
        <w:rPr>
          <w:rFonts w:ascii="Arial" w:hAnsi="Arial" w:cs="Arial"/>
        </w:rPr>
        <w:t xml:space="preserve"> shall be </w:t>
      </w:r>
      <w:proofErr w:type="gramStart"/>
      <w:r w:rsidRPr="00CF5B55">
        <w:rPr>
          <w:rFonts w:ascii="Arial" w:hAnsi="Arial" w:cs="Arial"/>
        </w:rPr>
        <w:t>considered</w:t>
      </w:r>
      <w:proofErr w:type="gramEnd"/>
      <w:r w:rsidRPr="00CF5B55">
        <w:rPr>
          <w:rFonts w:ascii="Arial" w:hAnsi="Arial" w:cs="Arial"/>
        </w:rPr>
        <w:t xml:space="preserve"> supplies. </w:t>
      </w:r>
    </w:p>
    <w:p w14:paraId="32AF67C5" w14:textId="77777777" w:rsidR="00CF5B55" w:rsidRPr="00CF5B55" w:rsidRDefault="00CF5B55" w:rsidP="00CF5B55">
      <w:pPr>
        <w:rPr>
          <w:rFonts w:ascii="Arial" w:hAnsi="Arial" w:cs="Arial"/>
          <w:b/>
          <w:bCs/>
          <w:u w:val="single"/>
        </w:rPr>
      </w:pPr>
    </w:p>
    <w:p w14:paraId="0E2CC743" w14:textId="77777777" w:rsidR="00CF5B55" w:rsidRPr="00CF5B55" w:rsidRDefault="00CF5B55" w:rsidP="00CF5B55">
      <w:pPr>
        <w:rPr>
          <w:rFonts w:ascii="Arial" w:hAnsi="Arial" w:cs="Arial"/>
          <w:b/>
          <w:bCs/>
          <w:u w:val="single"/>
        </w:rPr>
      </w:pPr>
      <w:r w:rsidRPr="00CF5B55">
        <w:rPr>
          <w:rFonts w:ascii="Arial" w:hAnsi="Arial" w:cs="Arial"/>
          <w:b/>
          <w:bCs/>
          <w:u w:val="single"/>
        </w:rPr>
        <w:t>Property Management:</w:t>
      </w:r>
    </w:p>
    <w:p w14:paraId="66E50EE2" w14:textId="6816C6DF" w:rsidR="00CF5B55" w:rsidRPr="00CF5B55" w:rsidRDefault="00CF5B55" w:rsidP="00CF5B55">
      <w:pPr>
        <w:rPr>
          <w:rFonts w:ascii="Arial" w:hAnsi="Arial" w:cs="Arial"/>
        </w:rPr>
      </w:pPr>
      <w:r w:rsidRPr="00CF5B55">
        <w:rPr>
          <w:rFonts w:ascii="Arial" w:hAnsi="Arial" w:cs="Arial"/>
        </w:rPr>
        <w:t xml:space="preserve">The WDB will maintain a record of all property defined as </w:t>
      </w:r>
      <w:r w:rsidRPr="00CF5B55">
        <w:rPr>
          <w:rFonts w:ascii="Arial" w:hAnsi="Arial" w:cs="Arial"/>
          <w:b/>
          <w:i/>
        </w:rPr>
        <w:t>equipment</w:t>
      </w:r>
      <w:r w:rsidRPr="00CF5B55">
        <w:rPr>
          <w:rFonts w:ascii="Arial" w:hAnsi="Arial" w:cs="Arial"/>
        </w:rPr>
        <w:t xml:space="preserve"> and tangible </w:t>
      </w:r>
      <w:r w:rsidRPr="00CF5B55">
        <w:rPr>
          <w:rFonts w:ascii="Arial" w:hAnsi="Arial" w:cs="Arial"/>
          <w:b/>
          <w:i/>
        </w:rPr>
        <w:t>supplies</w:t>
      </w:r>
      <w:r w:rsidRPr="00CF5B55">
        <w:rPr>
          <w:rFonts w:ascii="Arial" w:hAnsi="Arial" w:cs="Arial"/>
        </w:rPr>
        <w:t xml:space="preserve"> with a per-unit acquisition cost of $500</w:t>
      </w:r>
      <w:r>
        <w:rPr>
          <w:rFonts w:ascii="Arial" w:hAnsi="Arial" w:cs="Arial"/>
        </w:rPr>
        <w:t xml:space="preserve"> or greater</w:t>
      </w:r>
      <w:r w:rsidRPr="00CF5B55">
        <w:rPr>
          <w:rFonts w:ascii="Arial" w:hAnsi="Arial" w:cs="Arial"/>
        </w:rPr>
        <w:t>. This is in keeping with the college’s policy on inventory which is identified in Section #6.5.00 of the NCMC Board Policy Manual.</w:t>
      </w:r>
    </w:p>
    <w:p w14:paraId="7C78E11E" w14:textId="77777777" w:rsidR="00CF5B55" w:rsidRPr="00CF5B55" w:rsidRDefault="00CF5B55" w:rsidP="00CF5B55">
      <w:pPr>
        <w:rPr>
          <w:rFonts w:ascii="Arial" w:hAnsi="Arial" w:cs="Arial"/>
        </w:rPr>
      </w:pPr>
    </w:p>
    <w:p w14:paraId="4461471E" w14:textId="7EDA659B" w:rsidR="00CF5B55" w:rsidRPr="00971AD6" w:rsidRDefault="00CF5B55" w:rsidP="00CF5B55">
      <w:pPr>
        <w:rPr>
          <w:rFonts w:ascii="Arial" w:hAnsi="Arial" w:cs="Arial"/>
        </w:rPr>
      </w:pPr>
      <w:r w:rsidRPr="00CF5B55">
        <w:rPr>
          <w:rFonts w:ascii="Arial" w:hAnsi="Arial" w:cs="Arial"/>
        </w:rPr>
        <w:t xml:space="preserve">All inventoried purchases will be labeled with a numerical tag and maintained on an Inventory </w:t>
      </w:r>
      <w:r w:rsidR="00971AD6">
        <w:rPr>
          <w:rFonts w:ascii="Arial" w:hAnsi="Arial" w:cs="Arial"/>
        </w:rPr>
        <w:t>l</w:t>
      </w:r>
      <w:r w:rsidRPr="00CF5B55">
        <w:rPr>
          <w:rFonts w:ascii="Arial" w:hAnsi="Arial" w:cs="Arial"/>
        </w:rPr>
        <w:t>isting to include</w:t>
      </w:r>
      <w:r w:rsidRPr="00243AF7">
        <w:rPr>
          <w:rFonts w:ascii="Arial" w:hAnsi="Arial" w:cs="Arial"/>
          <w:color w:val="FF0000"/>
        </w:rPr>
        <w:t xml:space="preserve">: </w:t>
      </w:r>
      <w:r w:rsidRPr="00971AD6">
        <w:rPr>
          <w:rFonts w:ascii="Arial" w:hAnsi="Arial" w:cs="Arial"/>
        </w:rPr>
        <w:t>description of the item, manufacturer, serial number (if applicable), unit acquisition cost, acquisition date, location, funding source (to include FAIN)</w:t>
      </w:r>
      <w:r w:rsidR="00E62438" w:rsidRPr="00971AD6">
        <w:rPr>
          <w:rFonts w:ascii="Arial" w:hAnsi="Arial" w:cs="Arial"/>
        </w:rPr>
        <w:t>,</w:t>
      </w:r>
      <w:r w:rsidRPr="00971AD6">
        <w:rPr>
          <w:rFonts w:ascii="Arial" w:hAnsi="Arial" w:cs="Arial"/>
        </w:rPr>
        <w:t xml:space="preserve"> title</w:t>
      </w:r>
      <w:r w:rsidR="009C4957" w:rsidRPr="00971AD6">
        <w:rPr>
          <w:rFonts w:ascii="Arial" w:hAnsi="Arial" w:cs="Arial"/>
        </w:rPr>
        <w:t xml:space="preserve"> of </w:t>
      </w:r>
      <w:r w:rsidRPr="00971AD6">
        <w:rPr>
          <w:rFonts w:ascii="Arial" w:hAnsi="Arial" w:cs="Arial"/>
        </w:rPr>
        <w:t>ownership</w:t>
      </w:r>
      <w:r w:rsidR="009C4957" w:rsidRPr="00971AD6">
        <w:rPr>
          <w:rFonts w:ascii="Arial" w:hAnsi="Arial" w:cs="Arial"/>
        </w:rPr>
        <w:t>, percent of federal participation in the equipment cost,</w:t>
      </w:r>
      <w:r w:rsidRPr="00971AD6">
        <w:rPr>
          <w:rFonts w:ascii="Arial" w:hAnsi="Arial" w:cs="Arial"/>
        </w:rPr>
        <w:t xml:space="preserve"> </w:t>
      </w:r>
      <w:r w:rsidR="00491F3E" w:rsidRPr="00971AD6">
        <w:rPr>
          <w:rFonts w:ascii="Arial" w:hAnsi="Arial" w:cs="Arial"/>
        </w:rPr>
        <w:t>condition at last inspecti</w:t>
      </w:r>
      <w:r w:rsidR="00690817" w:rsidRPr="00971AD6">
        <w:rPr>
          <w:rFonts w:ascii="Arial" w:hAnsi="Arial" w:cs="Arial"/>
        </w:rPr>
        <w:t>o</w:t>
      </w:r>
      <w:r w:rsidR="00491F3E" w:rsidRPr="00971AD6">
        <w:rPr>
          <w:rFonts w:ascii="Arial" w:hAnsi="Arial" w:cs="Arial"/>
        </w:rPr>
        <w:t>n, date of last inspection</w:t>
      </w:r>
      <w:r w:rsidR="002D65B5">
        <w:rPr>
          <w:rFonts w:ascii="Arial" w:hAnsi="Arial" w:cs="Arial"/>
        </w:rPr>
        <w:t>, date of dispos</w:t>
      </w:r>
      <w:r w:rsidR="007967E4">
        <w:rPr>
          <w:rFonts w:ascii="Arial" w:hAnsi="Arial" w:cs="Arial"/>
        </w:rPr>
        <w:t xml:space="preserve">al, </w:t>
      </w:r>
      <w:r w:rsidRPr="00971AD6">
        <w:rPr>
          <w:rFonts w:ascii="Arial" w:hAnsi="Arial" w:cs="Arial"/>
        </w:rPr>
        <w:t>sale price if sold</w:t>
      </w:r>
      <w:r w:rsidR="007967E4">
        <w:rPr>
          <w:rFonts w:ascii="Arial" w:hAnsi="Arial" w:cs="Arial"/>
        </w:rPr>
        <w:t xml:space="preserve"> and method u</w:t>
      </w:r>
      <w:r w:rsidR="00EB68E7">
        <w:rPr>
          <w:rFonts w:ascii="Arial" w:hAnsi="Arial" w:cs="Arial"/>
        </w:rPr>
        <w:t>se</w:t>
      </w:r>
      <w:r w:rsidR="00520914">
        <w:rPr>
          <w:rFonts w:ascii="Arial" w:hAnsi="Arial" w:cs="Arial"/>
        </w:rPr>
        <w:t>d</w:t>
      </w:r>
      <w:r w:rsidR="00D36AB2">
        <w:rPr>
          <w:rFonts w:ascii="Arial" w:hAnsi="Arial" w:cs="Arial"/>
        </w:rPr>
        <w:t xml:space="preserve"> to determine fair market value</w:t>
      </w:r>
      <w:r w:rsidRPr="00971AD6">
        <w:rPr>
          <w:rFonts w:ascii="Arial" w:hAnsi="Arial" w:cs="Arial"/>
        </w:rPr>
        <w:t xml:space="preserve">.  </w:t>
      </w:r>
    </w:p>
    <w:p w14:paraId="62F21041" w14:textId="77777777" w:rsidR="00CF5B55" w:rsidRPr="00971AD6" w:rsidRDefault="00CF5B55" w:rsidP="00CF5B55">
      <w:pPr>
        <w:rPr>
          <w:rFonts w:ascii="Arial" w:hAnsi="Arial" w:cs="Arial"/>
        </w:rPr>
      </w:pPr>
    </w:p>
    <w:p w14:paraId="7B667CF4" w14:textId="69782147" w:rsidR="00CF5B55" w:rsidRPr="00CF5B55" w:rsidRDefault="00CF5B55" w:rsidP="00CF5B55">
      <w:pPr>
        <w:tabs>
          <w:tab w:val="left" w:pos="-720"/>
        </w:tabs>
        <w:suppressAutoHyphens/>
        <w:rPr>
          <w:rFonts w:ascii="Arial" w:hAnsi="Arial" w:cs="Arial"/>
          <w:spacing w:val="-3"/>
        </w:rPr>
      </w:pPr>
      <w:r w:rsidRPr="00CF5B55">
        <w:rPr>
          <w:rFonts w:ascii="Arial" w:hAnsi="Arial" w:cs="Arial"/>
          <w:spacing w:val="-3"/>
        </w:rPr>
        <w:t>A physical inspection of inventoried items will be completed on an annual basis</w:t>
      </w:r>
      <w:r>
        <w:rPr>
          <w:rFonts w:ascii="Arial" w:hAnsi="Arial" w:cs="Arial"/>
          <w:spacing w:val="-3"/>
        </w:rPr>
        <w:t xml:space="preserve"> </w:t>
      </w:r>
      <w:r w:rsidRPr="00CF5B55">
        <w:rPr>
          <w:rFonts w:ascii="Arial" w:hAnsi="Arial" w:cs="Arial"/>
          <w:spacing w:val="-3"/>
        </w:rPr>
        <w:t xml:space="preserve">in conjunction </w:t>
      </w:r>
      <w:r>
        <w:rPr>
          <w:rFonts w:ascii="Arial" w:hAnsi="Arial" w:cs="Arial"/>
          <w:spacing w:val="-3"/>
        </w:rPr>
        <w:t xml:space="preserve">with on-site subrecipient financial </w:t>
      </w:r>
      <w:r w:rsidRPr="00CF5B55">
        <w:rPr>
          <w:rFonts w:ascii="Arial" w:hAnsi="Arial" w:cs="Arial"/>
          <w:spacing w:val="-3"/>
        </w:rPr>
        <w:t xml:space="preserve">monitoring visits and reconciled with WDB records. </w:t>
      </w:r>
      <w:r>
        <w:rPr>
          <w:rFonts w:ascii="Arial" w:hAnsi="Arial" w:cs="Arial"/>
          <w:spacing w:val="-3"/>
        </w:rPr>
        <w:t xml:space="preserve">Inspections will be performed primarily by the WDF Fiscal Manager with assistance from subrecipient and/or other WDB staff.  </w:t>
      </w:r>
      <w:r w:rsidRPr="00CF5B55">
        <w:rPr>
          <w:rFonts w:ascii="Arial" w:hAnsi="Arial" w:cs="Arial"/>
          <w:spacing w:val="-3"/>
        </w:rPr>
        <w:t xml:space="preserve">During the physical inspection, any property that cannot be accounted for will become the responsibility of the last custodian, based upon the location of the item(s) from the prior year's inspection.  If the missing property is valued at less than $100 or has exceeded its estimated life, no financial recovery will be implemented.  However, the WDB may establish additional reporting expectations for the custodial vendor/subcontractor to reduce the likelihood of future loss.  </w:t>
      </w:r>
      <w:r w:rsidRPr="00CF5B55">
        <w:rPr>
          <w:rFonts w:ascii="Arial" w:hAnsi="Arial" w:cs="Arial"/>
          <w:spacing w:val="-3"/>
        </w:rPr>
        <w:lastRenderedPageBreak/>
        <w:t>If the missing property is valued at $100 or more and still has an expected useful life, the custodial vendor will be asked to reimburse the value of the lost property to the Workforce Development Board.</w:t>
      </w:r>
    </w:p>
    <w:p w14:paraId="25D499B3" w14:textId="77777777" w:rsidR="00CF5B55" w:rsidRPr="00CF5B55" w:rsidRDefault="00CF5B55" w:rsidP="00CF5B55">
      <w:pPr>
        <w:rPr>
          <w:rFonts w:ascii="Arial" w:hAnsi="Arial" w:cs="Arial"/>
        </w:rPr>
      </w:pPr>
    </w:p>
    <w:p w14:paraId="681921A5" w14:textId="77777777" w:rsidR="00CF5B55" w:rsidRPr="00CF5B55" w:rsidRDefault="00CF5B55" w:rsidP="00CF5B55">
      <w:pPr>
        <w:rPr>
          <w:rFonts w:ascii="Arial" w:hAnsi="Arial" w:cs="Arial"/>
          <w:u w:val="single"/>
        </w:rPr>
      </w:pPr>
      <w:r w:rsidRPr="00CF5B55">
        <w:rPr>
          <w:rFonts w:ascii="Arial" w:hAnsi="Arial" w:cs="Arial"/>
          <w:b/>
          <w:u w:val="single"/>
        </w:rPr>
        <w:t>Ownership and Authorization to Purchase</w:t>
      </w:r>
      <w:r w:rsidRPr="00CF5B55">
        <w:rPr>
          <w:rFonts w:ascii="Arial" w:hAnsi="Arial" w:cs="Arial"/>
          <w:u w:val="single"/>
        </w:rPr>
        <w:t>:</w:t>
      </w:r>
    </w:p>
    <w:p w14:paraId="272CAAEF" w14:textId="5C80969D" w:rsidR="00CF5B55" w:rsidRPr="00CF5B55" w:rsidRDefault="00CF5B55" w:rsidP="00CF5B55">
      <w:pPr>
        <w:rPr>
          <w:rFonts w:ascii="Arial" w:hAnsi="Arial" w:cs="Arial"/>
        </w:rPr>
      </w:pPr>
      <w:r w:rsidRPr="00CF5B55">
        <w:rPr>
          <w:rFonts w:ascii="Arial" w:hAnsi="Arial" w:cs="Arial"/>
        </w:rPr>
        <w:t xml:space="preserve">Any </w:t>
      </w:r>
      <w:r w:rsidRPr="00CF5B55">
        <w:rPr>
          <w:rFonts w:ascii="Arial" w:hAnsi="Arial" w:cs="Arial"/>
          <w:b/>
          <w:i/>
        </w:rPr>
        <w:t>equipment</w:t>
      </w:r>
      <w:r w:rsidRPr="00CF5B55">
        <w:rPr>
          <w:rFonts w:ascii="Arial" w:hAnsi="Arial" w:cs="Arial"/>
        </w:rPr>
        <w:t xml:space="preserve"> or tangible </w:t>
      </w:r>
      <w:r w:rsidRPr="00CF5B55">
        <w:rPr>
          <w:rFonts w:ascii="Arial" w:hAnsi="Arial" w:cs="Arial"/>
          <w:b/>
          <w:i/>
        </w:rPr>
        <w:t>supplies</w:t>
      </w:r>
      <w:r w:rsidRPr="00CF5B55">
        <w:rPr>
          <w:rFonts w:ascii="Arial" w:hAnsi="Arial" w:cs="Arial"/>
        </w:rPr>
        <w:t xml:space="preserve"> purchased with an acquisition cost of $500 or more will become the responsibility and ownership of the WDB. Purchases of </w:t>
      </w:r>
      <w:r w:rsidRPr="00CF5B55">
        <w:rPr>
          <w:rFonts w:ascii="Arial" w:hAnsi="Arial" w:cs="Arial"/>
          <w:b/>
          <w:i/>
        </w:rPr>
        <w:t xml:space="preserve">equipment </w:t>
      </w:r>
      <w:r w:rsidRPr="00CF5B55">
        <w:rPr>
          <w:rFonts w:ascii="Arial" w:hAnsi="Arial" w:cs="Arial"/>
        </w:rPr>
        <w:t xml:space="preserve">or </w:t>
      </w:r>
      <w:r w:rsidRPr="00CF5B55">
        <w:rPr>
          <w:rFonts w:ascii="Arial" w:hAnsi="Arial" w:cs="Arial"/>
          <w:b/>
          <w:i/>
        </w:rPr>
        <w:t>supplies</w:t>
      </w:r>
      <w:r w:rsidRPr="00CF5B55">
        <w:rPr>
          <w:rFonts w:ascii="Arial" w:hAnsi="Arial" w:cs="Arial"/>
        </w:rPr>
        <w:t xml:space="preserve"> with an acquisition cost of $500 or more by a sub</w:t>
      </w:r>
      <w:r>
        <w:rPr>
          <w:rFonts w:ascii="Arial" w:hAnsi="Arial" w:cs="Arial"/>
        </w:rPr>
        <w:t>recipient</w:t>
      </w:r>
      <w:r w:rsidRPr="00CF5B55">
        <w:rPr>
          <w:rFonts w:ascii="Arial" w:hAnsi="Arial" w:cs="Arial"/>
        </w:rPr>
        <w:t xml:space="preserve"> must be approved in advance by the WDB Director</w:t>
      </w:r>
      <w:r w:rsidR="002B5576">
        <w:rPr>
          <w:rFonts w:ascii="Arial" w:hAnsi="Arial" w:cs="Arial"/>
        </w:rPr>
        <w:t>.</w:t>
      </w:r>
      <w:r w:rsidRPr="00CF5B55">
        <w:rPr>
          <w:rFonts w:ascii="Arial" w:hAnsi="Arial" w:cs="Arial"/>
        </w:rPr>
        <w:t xml:space="preserve"> </w:t>
      </w:r>
      <w:r w:rsidR="009A0C51">
        <w:rPr>
          <w:rFonts w:ascii="Arial" w:hAnsi="Arial" w:cs="Arial"/>
        </w:rPr>
        <w:t xml:space="preserve">Equipment </w:t>
      </w:r>
      <w:r w:rsidRPr="00CF5B55">
        <w:rPr>
          <w:rFonts w:ascii="Arial" w:hAnsi="Arial" w:cs="Arial"/>
        </w:rPr>
        <w:t xml:space="preserve">or supply purchases of </w:t>
      </w:r>
      <w:r w:rsidRPr="00976259">
        <w:rPr>
          <w:rFonts w:ascii="Arial" w:hAnsi="Arial" w:cs="Arial"/>
          <w:highlight w:val="yellow"/>
        </w:rPr>
        <w:t>$</w:t>
      </w:r>
      <w:r w:rsidR="00976259" w:rsidRPr="00976259">
        <w:rPr>
          <w:rFonts w:ascii="Arial" w:hAnsi="Arial" w:cs="Arial"/>
          <w:highlight w:val="yellow"/>
        </w:rPr>
        <w:t>10</w:t>
      </w:r>
      <w:r w:rsidRPr="00976259">
        <w:rPr>
          <w:rFonts w:ascii="Arial" w:hAnsi="Arial" w:cs="Arial"/>
          <w:highlight w:val="yellow"/>
        </w:rPr>
        <w:t>,000</w:t>
      </w:r>
      <w:r w:rsidRPr="00CF5B55">
        <w:rPr>
          <w:rFonts w:ascii="Arial" w:hAnsi="Arial" w:cs="Arial"/>
        </w:rPr>
        <w:t xml:space="preserve"> or more must have prior approval from the WDB a</w:t>
      </w:r>
      <w:r>
        <w:rPr>
          <w:rFonts w:ascii="Arial" w:hAnsi="Arial" w:cs="Arial"/>
        </w:rPr>
        <w:t>s well as the DHEWD/OWD</w:t>
      </w:r>
      <w:r w:rsidRPr="00CF5B55">
        <w:rPr>
          <w:rFonts w:ascii="Arial" w:hAnsi="Arial" w:cs="Arial"/>
        </w:rPr>
        <w:t xml:space="preserve">.  </w:t>
      </w:r>
    </w:p>
    <w:p w14:paraId="77A64D31" w14:textId="77777777" w:rsidR="00CF5B55" w:rsidRPr="00CF5B55" w:rsidRDefault="00CF5B55" w:rsidP="00CF5B55">
      <w:pPr>
        <w:rPr>
          <w:rFonts w:ascii="Arial" w:hAnsi="Arial" w:cs="Arial"/>
        </w:rPr>
      </w:pPr>
    </w:p>
    <w:p w14:paraId="41EC3DBF" w14:textId="77777777" w:rsidR="00CF5B55" w:rsidRPr="00CF5B55" w:rsidRDefault="00CF5B55" w:rsidP="00CF5B55">
      <w:pPr>
        <w:rPr>
          <w:rFonts w:ascii="Arial" w:hAnsi="Arial" w:cs="Arial"/>
        </w:rPr>
      </w:pPr>
      <w:r w:rsidRPr="00CF5B55">
        <w:rPr>
          <w:rFonts w:ascii="Arial" w:hAnsi="Arial" w:cs="Arial"/>
          <w:b/>
          <w:bCs/>
          <w:u w:val="single"/>
        </w:rPr>
        <w:t>Disposition</w:t>
      </w:r>
      <w:r w:rsidRPr="00CF5B55">
        <w:rPr>
          <w:rFonts w:ascii="Arial" w:hAnsi="Arial" w:cs="Arial"/>
        </w:rPr>
        <w:t>:</w:t>
      </w:r>
    </w:p>
    <w:p w14:paraId="1F09A66D" w14:textId="77777777" w:rsidR="00CF5B55" w:rsidRPr="00CF5B55" w:rsidRDefault="00CF5B55" w:rsidP="00CF5B55">
      <w:pPr>
        <w:rPr>
          <w:rFonts w:ascii="Arial" w:hAnsi="Arial" w:cs="Arial"/>
        </w:rPr>
      </w:pPr>
      <w:r w:rsidRPr="00CF5B55">
        <w:rPr>
          <w:rFonts w:ascii="Arial" w:hAnsi="Arial" w:cs="Arial"/>
        </w:rPr>
        <w:t>Equipment and inventoried supplies no longer being used will be included on a listing of surplus property to be reviewed and approved by the WDB and NCMC Board of Trustees. A fair market value will be established by an independent third party.  Disposition will be handled in the following manner:</w:t>
      </w:r>
    </w:p>
    <w:p w14:paraId="50425580" w14:textId="77777777" w:rsidR="00CF5B55" w:rsidRPr="00CF5B55" w:rsidRDefault="00CF5B55" w:rsidP="00CF5B55">
      <w:pPr>
        <w:rPr>
          <w:rFonts w:ascii="Arial" w:hAnsi="Arial" w:cs="Arial"/>
          <w:sz w:val="16"/>
          <w:szCs w:val="16"/>
        </w:rPr>
      </w:pPr>
    </w:p>
    <w:p w14:paraId="1BD6E84B" w14:textId="1CA41902" w:rsidR="00CF5B55" w:rsidRPr="00CF5B55" w:rsidRDefault="00CF5B55" w:rsidP="00CF5B55">
      <w:pPr>
        <w:numPr>
          <w:ilvl w:val="0"/>
          <w:numId w:val="1"/>
        </w:numPr>
        <w:rPr>
          <w:rFonts w:ascii="Arial" w:hAnsi="Arial" w:cs="Arial"/>
        </w:rPr>
      </w:pPr>
      <w:r w:rsidRPr="00CF5B55">
        <w:rPr>
          <w:rFonts w:ascii="Arial" w:hAnsi="Arial" w:cs="Arial"/>
        </w:rPr>
        <w:t xml:space="preserve">Individual items valued at $100 or less will be recycled, </w:t>
      </w:r>
      <w:r>
        <w:rPr>
          <w:rFonts w:ascii="Arial" w:hAnsi="Arial" w:cs="Arial"/>
        </w:rPr>
        <w:t xml:space="preserve">donated </w:t>
      </w:r>
      <w:r w:rsidRPr="00CF5B55">
        <w:rPr>
          <w:rFonts w:ascii="Arial" w:hAnsi="Arial" w:cs="Arial"/>
        </w:rPr>
        <w:t>or tossed.</w:t>
      </w:r>
    </w:p>
    <w:p w14:paraId="1E9A4217" w14:textId="77777777" w:rsidR="00CF5B55" w:rsidRPr="00CF5B55" w:rsidRDefault="00CF5B55" w:rsidP="00CF5B55">
      <w:pPr>
        <w:numPr>
          <w:ilvl w:val="0"/>
          <w:numId w:val="1"/>
        </w:numPr>
        <w:rPr>
          <w:rFonts w:ascii="Arial" w:hAnsi="Arial" w:cs="Arial"/>
        </w:rPr>
      </w:pPr>
      <w:r w:rsidRPr="00CF5B55">
        <w:rPr>
          <w:rFonts w:ascii="Arial" w:hAnsi="Arial" w:cs="Arial"/>
        </w:rPr>
        <w:t>Individual items with a value over $100 will be sold through public auction or disposed of by receipt of sealed bids.</w:t>
      </w:r>
    </w:p>
    <w:p w14:paraId="1EE632B7" w14:textId="77777777" w:rsidR="00CF5B55" w:rsidRPr="00CF5B55" w:rsidRDefault="00CF5B55" w:rsidP="00CF5B55">
      <w:pPr>
        <w:rPr>
          <w:rFonts w:ascii="Arial" w:hAnsi="Arial" w:cs="Arial"/>
        </w:rPr>
      </w:pPr>
    </w:p>
    <w:p w14:paraId="00345F77" w14:textId="77777777" w:rsidR="00CF5B55" w:rsidRPr="00CF5B55" w:rsidRDefault="00CF5B55" w:rsidP="00CF5B55">
      <w:pPr>
        <w:rPr>
          <w:rFonts w:ascii="Arial" w:hAnsi="Arial" w:cs="Arial"/>
        </w:rPr>
      </w:pPr>
      <w:r w:rsidRPr="00CF5B55">
        <w:rPr>
          <w:rFonts w:ascii="Arial" w:hAnsi="Arial" w:cs="Arial"/>
        </w:rPr>
        <w:t>In determining a method for disposition, priority will be given to cost-effectiveness, protection of confidential information, and conservation of natural resources.</w:t>
      </w:r>
    </w:p>
    <w:p w14:paraId="743F088E" w14:textId="77777777" w:rsidR="00CF5B55" w:rsidRPr="00CF5B55" w:rsidRDefault="00CF5B55" w:rsidP="00CF5B55">
      <w:pPr>
        <w:rPr>
          <w:rFonts w:ascii="Arial" w:hAnsi="Arial" w:cs="Arial"/>
        </w:rPr>
      </w:pPr>
    </w:p>
    <w:p w14:paraId="313835DC" w14:textId="750E662C" w:rsidR="00CF5B55" w:rsidRPr="00CF5B55" w:rsidRDefault="00CF5B55" w:rsidP="00CF5B55">
      <w:pPr>
        <w:rPr>
          <w:rFonts w:ascii="Arial" w:hAnsi="Arial" w:cs="Arial"/>
        </w:rPr>
      </w:pPr>
      <w:r w:rsidRPr="00CF5B55">
        <w:rPr>
          <w:rFonts w:ascii="Arial" w:hAnsi="Arial" w:cs="Arial"/>
        </w:rPr>
        <w:t xml:space="preserve">The WDB will request prior approval from </w:t>
      </w:r>
      <w:r>
        <w:rPr>
          <w:rFonts w:ascii="Arial" w:hAnsi="Arial" w:cs="Arial"/>
        </w:rPr>
        <w:t>DHEWD/</w:t>
      </w:r>
      <w:r w:rsidRPr="00CF5B55">
        <w:rPr>
          <w:rFonts w:ascii="Arial" w:hAnsi="Arial" w:cs="Arial"/>
        </w:rPr>
        <w:t>OWD to dispose of any “</w:t>
      </w:r>
      <w:r w:rsidRPr="00CF5B55">
        <w:rPr>
          <w:rFonts w:ascii="Arial" w:hAnsi="Arial" w:cs="Arial"/>
          <w:b/>
          <w:i/>
        </w:rPr>
        <w:t>equipment</w:t>
      </w:r>
      <w:r w:rsidRPr="00CF5B55">
        <w:rPr>
          <w:rFonts w:ascii="Arial" w:hAnsi="Arial" w:cs="Arial"/>
        </w:rPr>
        <w:t xml:space="preserve">” or </w:t>
      </w:r>
      <w:r w:rsidRPr="00CF5B55">
        <w:rPr>
          <w:rFonts w:ascii="Arial" w:hAnsi="Arial" w:cs="Arial"/>
          <w:b/>
          <w:i/>
        </w:rPr>
        <w:t>“supplies”</w:t>
      </w:r>
      <w:r w:rsidRPr="00CF5B55">
        <w:rPr>
          <w:rFonts w:ascii="Arial" w:hAnsi="Arial" w:cs="Arial"/>
        </w:rPr>
        <w:t xml:space="preserve"> worth </w:t>
      </w:r>
      <w:r w:rsidRPr="00AF609D">
        <w:rPr>
          <w:rFonts w:ascii="Arial" w:hAnsi="Arial" w:cs="Arial"/>
          <w:highlight w:val="yellow"/>
        </w:rPr>
        <w:t>$</w:t>
      </w:r>
      <w:r w:rsidR="00AF609D">
        <w:rPr>
          <w:rFonts w:ascii="Arial" w:hAnsi="Arial" w:cs="Arial"/>
          <w:highlight w:val="yellow"/>
        </w:rPr>
        <w:t>10</w:t>
      </w:r>
      <w:r w:rsidRPr="00AF609D">
        <w:rPr>
          <w:rFonts w:ascii="Arial" w:hAnsi="Arial" w:cs="Arial"/>
          <w:highlight w:val="yellow"/>
        </w:rPr>
        <w:t>,000</w:t>
      </w:r>
      <w:r w:rsidRPr="00CF5B55">
        <w:rPr>
          <w:rFonts w:ascii="Arial" w:hAnsi="Arial" w:cs="Arial"/>
        </w:rPr>
        <w:t xml:space="preserve"> or more.</w:t>
      </w:r>
    </w:p>
    <w:p w14:paraId="54770DF7" w14:textId="77777777" w:rsidR="00CF5B55" w:rsidRPr="00CF5B55" w:rsidRDefault="00CF5B55" w:rsidP="00CF5B55">
      <w:pPr>
        <w:rPr>
          <w:rFonts w:ascii="Arial" w:hAnsi="Arial" w:cs="Arial"/>
          <w:b/>
          <w:u w:val="single"/>
        </w:rPr>
      </w:pPr>
    </w:p>
    <w:p w14:paraId="765F9CC9" w14:textId="77777777" w:rsidR="00CF5B55" w:rsidRPr="00CF5B55" w:rsidRDefault="00CF5B55" w:rsidP="00CF5B55">
      <w:pPr>
        <w:rPr>
          <w:rFonts w:ascii="Arial" w:hAnsi="Arial" w:cs="Arial"/>
        </w:rPr>
      </w:pPr>
      <w:r w:rsidRPr="00CF5B55">
        <w:rPr>
          <w:rFonts w:ascii="Arial" w:hAnsi="Arial" w:cs="Arial"/>
          <w:b/>
          <w:u w:val="single"/>
        </w:rPr>
        <w:t>Transfers</w:t>
      </w:r>
      <w:r w:rsidRPr="00CF5B55">
        <w:rPr>
          <w:rFonts w:ascii="Arial" w:hAnsi="Arial" w:cs="Arial"/>
        </w:rPr>
        <w:t>:</w:t>
      </w:r>
    </w:p>
    <w:p w14:paraId="4D0EC5FA" w14:textId="1C60439C" w:rsidR="00CF5B55" w:rsidRPr="00CF5B55" w:rsidRDefault="00CF5B55" w:rsidP="00CF5B55">
      <w:pPr>
        <w:rPr>
          <w:rFonts w:ascii="Arial" w:hAnsi="Arial" w:cs="Arial"/>
        </w:rPr>
      </w:pPr>
      <w:r w:rsidRPr="00CF5B55">
        <w:rPr>
          <w:rFonts w:ascii="Arial" w:hAnsi="Arial" w:cs="Arial"/>
        </w:rPr>
        <w:t xml:space="preserve">Equipment and supplies must be utilized for the program or project for which the equipment/supplies were acquired as long as needed, </w:t>
      </w:r>
      <w:proofErr w:type="gramStart"/>
      <w:r w:rsidRPr="00CF5B55">
        <w:rPr>
          <w:rFonts w:ascii="Arial" w:hAnsi="Arial" w:cs="Arial"/>
        </w:rPr>
        <w:t>whether or not</w:t>
      </w:r>
      <w:proofErr w:type="gramEnd"/>
      <w:r w:rsidRPr="00CF5B55">
        <w:rPr>
          <w:rFonts w:ascii="Arial" w:hAnsi="Arial" w:cs="Arial"/>
        </w:rPr>
        <w:t xml:space="preserve"> the project or program continues to be supported by the WDB/</w:t>
      </w:r>
      <w:r>
        <w:rPr>
          <w:rFonts w:ascii="Arial" w:hAnsi="Arial" w:cs="Arial"/>
        </w:rPr>
        <w:t xml:space="preserve">DHEWD </w:t>
      </w:r>
      <w:r w:rsidRPr="00CF5B55">
        <w:rPr>
          <w:rFonts w:ascii="Arial" w:hAnsi="Arial" w:cs="Arial"/>
        </w:rPr>
        <w:t>OWD.  Prior approval from the WDB/</w:t>
      </w:r>
      <w:r>
        <w:rPr>
          <w:rFonts w:ascii="Arial" w:hAnsi="Arial" w:cs="Arial"/>
        </w:rPr>
        <w:t xml:space="preserve">DHEWD </w:t>
      </w:r>
      <w:r w:rsidRPr="00CF5B55">
        <w:rPr>
          <w:rFonts w:ascii="Arial" w:hAnsi="Arial" w:cs="Arial"/>
        </w:rPr>
        <w:t xml:space="preserve">OWD must be obtained before any other program can encumber the property. </w:t>
      </w:r>
    </w:p>
    <w:p w14:paraId="4ACDE482" w14:textId="77777777" w:rsidR="00CF5B55" w:rsidRPr="00CF5B55" w:rsidRDefault="00CF5B55" w:rsidP="00CF5B55">
      <w:pPr>
        <w:rPr>
          <w:rFonts w:ascii="Arial" w:hAnsi="Arial" w:cs="Arial"/>
        </w:rPr>
      </w:pPr>
    </w:p>
    <w:p w14:paraId="57C41D27" w14:textId="77777777" w:rsidR="00CF5B55" w:rsidRPr="00CF5B55" w:rsidRDefault="00CF5B55" w:rsidP="00CF5B55">
      <w:pPr>
        <w:rPr>
          <w:rFonts w:ascii="Arial" w:hAnsi="Arial" w:cs="Arial"/>
          <w:b/>
          <w:bCs/>
          <w:u w:val="single"/>
        </w:rPr>
      </w:pPr>
      <w:r w:rsidRPr="00CF5B55">
        <w:rPr>
          <w:rFonts w:ascii="Arial" w:hAnsi="Arial" w:cs="Arial"/>
          <w:b/>
          <w:bCs/>
          <w:u w:val="single"/>
        </w:rPr>
        <w:t>Proceeds:</w:t>
      </w:r>
    </w:p>
    <w:p w14:paraId="45571A25" w14:textId="77777777" w:rsidR="007E0EC1" w:rsidRDefault="00CF5B55" w:rsidP="00CF5B55">
      <w:pPr>
        <w:rPr>
          <w:rFonts w:ascii="Arial" w:hAnsi="Arial" w:cs="Arial"/>
        </w:rPr>
        <w:sectPr w:rsidR="007E0EC1" w:rsidSect="00464B80">
          <w:headerReference w:type="first" r:id="rId10"/>
          <w:pgSz w:w="12240" w:h="15840"/>
          <w:pgMar w:top="360" w:right="1440" w:bottom="1440" w:left="1440" w:header="720" w:footer="720" w:gutter="0"/>
          <w:cols w:space="720"/>
          <w:titlePg/>
          <w:docGrid w:linePitch="360"/>
        </w:sectPr>
      </w:pPr>
      <w:r w:rsidRPr="00CF5B55">
        <w:rPr>
          <w:rFonts w:ascii="Arial" w:hAnsi="Arial" w:cs="Arial"/>
        </w:rPr>
        <w:t>Uniform Guidance at 2 CFR 200.314(a) states, “</w:t>
      </w:r>
      <w:r w:rsidR="00F66D05" w:rsidRPr="00F66D05">
        <w:rPr>
          <w:rFonts w:ascii="Arial" w:hAnsi="Arial" w:cs="Arial"/>
          <w:highlight w:val="yellow"/>
        </w:rPr>
        <w:t>When</w:t>
      </w:r>
      <w:r w:rsidR="00F66D05">
        <w:rPr>
          <w:rFonts w:ascii="Arial" w:hAnsi="Arial" w:cs="Arial"/>
        </w:rPr>
        <w:t xml:space="preserve"> </w:t>
      </w:r>
      <w:r w:rsidRPr="00CF5B55">
        <w:rPr>
          <w:rFonts w:ascii="Arial" w:hAnsi="Arial" w:cs="Arial"/>
        </w:rPr>
        <w:t>th</w:t>
      </w:r>
      <w:r w:rsidR="00F66D05">
        <w:rPr>
          <w:rFonts w:ascii="Arial" w:hAnsi="Arial" w:cs="Arial"/>
        </w:rPr>
        <w:t xml:space="preserve">ere </w:t>
      </w:r>
      <w:r w:rsidRPr="00CF5B55">
        <w:rPr>
          <w:rFonts w:ascii="Arial" w:hAnsi="Arial" w:cs="Arial"/>
        </w:rPr>
        <w:t xml:space="preserve">is a residual inventory of unused </w:t>
      </w:r>
      <w:r w:rsidRPr="00CF5B55">
        <w:rPr>
          <w:rFonts w:ascii="Arial" w:hAnsi="Arial" w:cs="Arial"/>
          <w:b/>
          <w:i/>
        </w:rPr>
        <w:t>supplies</w:t>
      </w:r>
      <w:r w:rsidRPr="00CF5B55">
        <w:rPr>
          <w:rFonts w:ascii="Arial" w:hAnsi="Arial" w:cs="Arial"/>
        </w:rPr>
        <w:t xml:space="preserve"> </w:t>
      </w:r>
      <w:r w:rsidRPr="00CF5B55">
        <w:rPr>
          <w:rFonts w:ascii="Arial" w:hAnsi="Arial" w:cs="Arial"/>
          <w:u w:val="single"/>
        </w:rPr>
        <w:t>exceeding $</w:t>
      </w:r>
      <w:r w:rsidR="00C54BDA">
        <w:rPr>
          <w:rFonts w:ascii="Arial" w:hAnsi="Arial" w:cs="Arial"/>
          <w:highlight w:val="yellow"/>
          <w:u w:val="single"/>
        </w:rPr>
        <w:t>10</w:t>
      </w:r>
      <w:r w:rsidRPr="00C54BDA">
        <w:rPr>
          <w:rFonts w:ascii="Arial" w:hAnsi="Arial" w:cs="Arial"/>
          <w:highlight w:val="yellow"/>
          <w:u w:val="single"/>
        </w:rPr>
        <w:t>,000</w:t>
      </w:r>
      <w:r w:rsidRPr="00CF5B55">
        <w:rPr>
          <w:rFonts w:ascii="Arial" w:hAnsi="Arial" w:cs="Arial"/>
        </w:rPr>
        <w:t xml:space="preserve"> in aggregate </w:t>
      </w:r>
      <w:r w:rsidRPr="009D21C8">
        <w:rPr>
          <w:rFonts w:ascii="Arial" w:hAnsi="Arial" w:cs="Arial"/>
          <w:highlight w:val="yellow"/>
        </w:rPr>
        <w:t xml:space="preserve">value </w:t>
      </w:r>
      <w:r w:rsidR="00572CAC" w:rsidRPr="009D21C8">
        <w:rPr>
          <w:rFonts w:ascii="Arial" w:hAnsi="Arial" w:cs="Arial"/>
          <w:highlight w:val="yellow"/>
        </w:rPr>
        <w:t>at the end of the period of performance</w:t>
      </w:r>
      <w:r w:rsidR="009D21C8">
        <w:rPr>
          <w:rFonts w:ascii="Arial" w:hAnsi="Arial" w:cs="Arial"/>
        </w:rPr>
        <w:t xml:space="preserve">, </w:t>
      </w:r>
      <w:r w:rsidRPr="009D21C8">
        <w:rPr>
          <w:rFonts w:ascii="Arial" w:hAnsi="Arial" w:cs="Arial"/>
          <w:strike/>
        </w:rPr>
        <w:t>upon termination or completion of the project or program</w:t>
      </w:r>
      <w:r w:rsidRPr="00CF5B55">
        <w:rPr>
          <w:rFonts w:ascii="Arial" w:hAnsi="Arial" w:cs="Arial"/>
        </w:rPr>
        <w:t xml:space="preserve"> and the supplies are not needed for any other federal award, the </w:t>
      </w:r>
      <w:r w:rsidR="006C60A7">
        <w:rPr>
          <w:rFonts w:ascii="Arial" w:hAnsi="Arial" w:cs="Arial"/>
        </w:rPr>
        <w:t>r</w:t>
      </w:r>
      <w:r w:rsidR="006C60A7" w:rsidRPr="00D4232C">
        <w:rPr>
          <w:rFonts w:ascii="Arial" w:hAnsi="Arial" w:cs="Arial"/>
          <w:highlight w:val="yellow"/>
        </w:rPr>
        <w:t>ecipient</w:t>
      </w:r>
      <w:r w:rsidR="002276EE">
        <w:rPr>
          <w:rFonts w:ascii="Arial" w:hAnsi="Arial" w:cs="Arial"/>
          <w:highlight w:val="yellow"/>
        </w:rPr>
        <w:t xml:space="preserve"> or </w:t>
      </w:r>
      <w:r w:rsidR="00D4232C" w:rsidRPr="00E86A48">
        <w:rPr>
          <w:rFonts w:ascii="Arial" w:hAnsi="Arial" w:cs="Arial"/>
          <w:highlight w:val="yellow"/>
        </w:rPr>
        <w:t>subrecipient</w:t>
      </w:r>
      <w:r w:rsidRPr="00E86A48">
        <w:rPr>
          <w:rFonts w:ascii="Arial" w:hAnsi="Arial" w:cs="Arial"/>
          <w:highlight w:val="yellow"/>
        </w:rPr>
        <w:t xml:space="preserve"> </w:t>
      </w:r>
      <w:r w:rsidR="00E86A48" w:rsidRPr="00E86A48">
        <w:rPr>
          <w:rFonts w:ascii="Arial" w:hAnsi="Arial" w:cs="Arial"/>
          <w:highlight w:val="yellow"/>
        </w:rPr>
        <w:t>may</w:t>
      </w:r>
      <w:r w:rsidR="00E86A48">
        <w:rPr>
          <w:rFonts w:ascii="Arial" w:hAnsi="Arial" w:cs="Arial"/>
        </w:rPr>
        <w:t xml:space="preserve"> </w:t>
      </w:r>
      <w:r w:rsidRPr="00CF5B55">
        <w:rPr>
          <w:rFonts w:ascii="Arial" w:hAnsi="Arial" w:cs="Arial"/>
        </w:rPr>
        <w:t xml:space="preserve">retain </w:t>
      </w:r>
      <w:r w:rsidR="00771EEA" w:rsidRPr="00771EEA">
        <w:rPr>
          <w:rFonts w:ascii="Arial" w:hAnsi="Arial" w:cs="Arial"/>
          <w:highlight w:val="yellow"/>
        </w:rPr>
        <w:t>or sell</w:t>
      </w:r>
      <w:r w:rsidR="00771EEA">
        <w:rPr>
          <w:rFonts w:ascii="Arial" w:hAnsi="Arial" w:cs="Arial"/>
        </w:rPr>
        <w:t xml:space="preserve"> </w:t>
      </w:r>
      <w:r w:rsidRPr="00CF5B55">
        <w:rPr>
          <w:rFonts w:ascii="Arial" w:hAnsi="Arial" w:cs="Arial"/>
        </w:rPr>
        <w:t xml:space="preserve">the </w:t>
      </w:r>
      <w:r w:rsidR="00771EEA" w:rsidRPr="00771EEA">
        <w:rPr>
          <w:rFonts w:ascii="Arial" w:hAnsi="Arial" w:cs="Arial"/>
          <w:highlight w:val="yellow"/>
        </w:rPr>
        <w:t>unused</w:t>
      </w:r>
      <w:r w:rsidR="00771EEA">
        <w:rPr>
          <w:rFonts w:ascii="Arial" w:hAnsi="Arial" w:cs="Arial"/>
        </w:rPr>
        <w:t xml:space="preserve"> </w:t>
      </w:r>
      <w:r w:rsidRPr="00CF5B55">
        <w:rPr>
          <w:rFonts w:ascii="Arial" w:hAnsi="Arial" w:cs="Arial"/>
        </w:rPr>
        <w:t>supplies</w:t>
      </w:r>
      <w:r w:rsidR="001F5530" w:rsidRPr="00CB6BEC">
        <w:rPr>
          <w:rFonts w:ascii="Arial" w:hAnsi="Arial" w:cs="Arial"/>
          <w:highlight w:val="yellow"/>
        </w:rPr>
        <w:t xml:space="preserve">. </w:t>
      </w:r>
      <w:r w:rsidR="00CB6BEC" w:rsidRPr="00CB6BEC">
        <w:rPr>
          <w:rFonts w:ascii="Arial" w:hAnsi="Arial" w:cs="Arial"/>
          <w:highlight w:val="yellow"/>
        </w:rPr>
        <w:t xml:space="preserve">Unused supplies </w:t>
      </w:r>
      <w:proofErr w:type="gramStart"/>
      <w:r w:rsidR="00CB6BEC" w:rsidRPr="00CB6BEC">
        <w:rPr>
          <w:rFonts w:ascii="Arial" w:hAnsi="Arial" w:cs="Arial"/>
          <w:highlight w:val="yellow"/>
        </w:rPr>
        <w:t>means</w:t>
      </w:r>
      <w:proofErr w:type="gramEnd"/>
      <w:r w:rsidR="00CB6BEC" w:rsidRPr="00CB6BEC">
        <w:rPr>
          <w:rFonts w:ascii="Arial" w:hAnsi="Arial" w:cs="Arial"/>
          <w:highlight w:val="yellow"/>
        </w:rPr>
        <w:t xml:space="preserve"> supplies that are in new condition, not having been used or opened before. The aggregate value of unused supplies consists of all supply types, not just like-item supplies</w:t>
      </w:r>
      <w:r w:rsidR="00CB6BEC" w:rsidRPr="00CB6BEC">
        <w:rPr>
          <w:rFonts w:ascii="Arial" w:hAnsi="Arial" w:cs="Arial"/>
        </w:rPr>
        <w:t xml:space="preserve">. The Federal agency </w:t>
      </w:r>
      <w:r w:rsidR="00CB6BEC" w:rsidRPr="00886C2A">
        <w:rPr>
          <w:rFonts w:ascii="Arial" w:hAnsi="Arial" w:cs="Arial"/>
          <w:highlight w:val="yellow"/>
        </w:rPr>
        <w:t>or pass-through entity</w:t>
      </w:r>
      <w:r w:rsidR="00CB6BEC" w:rsidRPr="00CB6BEC">
        <w:rPr>
          <w:rFonts w:ascii="Arial" w:hAnsi="Arial" w:cs="Arial"/>
        </w:rPr>
        <w:t xml:space="preserve"> is entitled to </w:t>
      </w:r>
      <w:r w:rsidR="00CB6BEC" w:rsidRPr="00366E7A">
        <w:rPr>
          <w:rFonts w:ascii="Arial" w:hAnsi="Arial" w:cs="Arial"/>
          <w:highlight w:val="yellow"/>
        </w:rPr>
        <w:t>compensation in an amount calculated by multiplying the percentage of the Federal agency's or pass-through entity's contribution towards the cost of the original purchase(s) by the current market value or proceeds from the sale. If the supplies are sold, the Federal agency or pass-through entity may permit the recipient or subrecipient to retain, from the Federal share, $1,000 of the proceeds to cover expenses associated with the selling and handling of the supplies</w:t>
      </w:r>
      <w:r w:rsidR="00352605">
        <w:rPr>
          <w:rFonts w:ascii="Arial" w:hAnsi="Arial" w:cs="Arial"/>
        </w:rPr>
        <w:t>.”</w:t>
      </w:r>
    </w:p>
    <w:p w14:paraId="34C17887" w14:textId="0917AFFE" w:rsidR="00886C2A" w:rsidRDefault="00886C2A" w:rsidP="00CF5B55"/>
    <w:p w14:paraId="562B583D" w14:textId="77777777" w:rsidR="009E4CA9" w:rsidRDefault="009E4CA9" w:rsidP="00CF5B55"/>
    <w:p w14:paraId="2630BB9B" w14:textId="77777777" w:rsidR="00D11092" w:rsidRDefault="00D11092" w:rsidP="00CF5B55">
      <w:pPr>
        <w:rPr>
          <w:rFonts w:ascii="Arial" w:hAnsi="Arial" w:cs="Arial"/>
        </w:rPr>
        <w:sectPr w:rsidR="00D11092" w:rsidSect="007E0EC1">
          <w:headerReference w:type="first" r:id="rId11"/>
          <w:footerReference w:type="first" r:id="rId12"/>
          <w:type w:val="continuous"/>
          <w:pgSz w:w="12240" w:h="15840"/>
          <w:pgMar w:top="360" w:right="1440" w:bottom="1440" w:left="1440" w:header="720" w:footer="720" w:gutter="0"/>
          <w:cols w:space="720"/>
          <w:titlePg/>
          <w:docGrid w:linePitch="360"/>
        </w:sectPr>
      </w:pPr>
    </w:p>
    <w:p w14:paraId="2100F212" w14:textId="77777777" w:rsidR="007E0EC1" w:rsidRDefault="007E0EC1" w:rsidP="00CF5B55">
      <w:pPr>
        <w:rPr>
          <w:rFonts w:ascii="Arial" w:hAnsi="Arial" w:cs="Arial"/>
        </w:rPr>
        <w:sectPr w:rsidR="007E0EC1" w:rsidSect="00D11092">
          <w:type w:val="continuous"/>
          <w:pgSz w:w="12240" w:h="15840"/>
          <w:pgMar w:top="360" w:right="1440" w:bottom="1440" w:left="1440" w:header="720" w:footer="720" w:gutter="0"/>
          <w:cols w:space="720"/>
          <w:titlePg/>
          <w:docGrid w:linePitch="360"/>
        </w:sectPr>
      </w:pPr>
    </w:p>
    <w:p w14:paraId="65B480B1" w14:textId="681EC856" w:rsidR="00CF5B55" w:rsidRPr="00CF5B55" w:rsidRDefault="00CF5B55" w:rsidP="00CF5B55">
      <w:pPr>
        <w:rPr>
          <w:rFonts w:ascii="Arial" w:hAnsi="Arial" w:cs="Arial"/>
        </w:rPr>
      </w:pPr>
      <w:r w:rsidRPr="00CF5B55">
        <w:rPr>
          <w:rFonts w:ascii="Arial" w:hAnsi="Arial" w:cs="Arial"/>
        </w:rPr>
        <w:t xml:space="preserve">While proceeds from the sale of equipment are not program income, they shall be reported to </w:t>
      </w:r>
      <w:r>
        <w:rPr>
          <w:rFonts w:ascii="Arial" w:hAnsi="Arial" w:cs="Arial"/>
        </w:rPr>
        <w:t xml:space="preserve">WDB/DHEWD </w:t>
      </w:r>
      <w:r w:rsidRPr="00CF5B55">
        <w:rPr>
          <w:rFonts w:ascii="Arial" w:hAnsi="Arial" w:cs="Arial"/>
        </w:rPr>
        <w:t xml:space="preserve">OWD in a manner </w:t>
      </w:r>
      <w:proofErr w:type="gramStart"/>
      <w:r w:rsidRPr="00CF5B55">
        <w:rPr>
          <w:rFonts w:ascii="Arial" w:hAnsi="Arial" w:cs="Arial"/>
        </w:rPr>
        <w:t>similar to</w:t>
      </w:r>
      <w:proofErr w:type="gramEnd"/>
      <w:r w:rsidRPr="00CF5B55">
        <w:rPr>
          <w:rFonts w:ascii="Arial" w:hAnsi="Arial" w:cs="Arial"/>
        </w:rPr>
        <w:t xml:space="preserve"> that of program income which will be used to offset future equipment or program services.  </w:t>
      </w:r>
    </w:p>
    <w:p w14:paraId="58B9E8E8" w14:textId="77777777" w:rsidR="00CF5B55" w:rsidRPr="00CF5B55" w:rsidRDefault="00CF5B55" w:rsidP="00CF5B55">
      <w:pPr>
        <w:rPr>
          <w:rFonts w:ascii="Arial" w:hAnsi="Arial" w:cs="Arial"/>
        </w:rPr>
      </w:pPr>
    </w:p>
    <w:p w14:paraId="6F28E79E" w14:textId="2A322E52" w:rsidR="00CF5B55" w:rsidRDefault="00CF5B55" w:rsidP="00CF5B55">
      <w:pPr>
        <w:rPr>
          <w:rFonts w:ascii="Arial" w:hAnsi="Arial" w:cs="Arial"/>
        </w:rPr>
      </w:pPr>
      <w:r w:rsidRPr="00CF5B55">
        <w:rPr>
          <w:rFonts w:ascii="Arial" w:hAnsi="Arial" w:cs="Arial"/>
        </w:rPr>
        <w:t xml:space="preserve">The WDB shall ensure that </w:t>
      </w:r>
      <w:r>
        <w:rPr>
          <w:rFonts w:ascii="Arial" w:hAnsi="Arial" w:cs="Arial"/>
        </w:rPr>
        <w:t xml:space="preserve">DHEWD </w:t>
      </w:r>
      <w:r w:rsidRPr="00CF5B55">
        <w:rPr>
          <w:rFonts w:ascii="Arial" w:hAnsi="Arial" w:cs="Arial"/>
        </w:rPr>
        <w:t xml:space="preserve">OWD has a right to an amount of the proceeds in proportion to </w:t>
      </w:r>
      <w:r>
        <w:rPr>
          <w:rFonts w:ascii="Arial" w:hAnsi="Arial" w:cs="Arial"/>
        </w:rPr>
        <w:t xml:space="preserve">DHEWD </w:t>
      </w:r>
      <w:r w:rsidRPr="00CF5B55">
        <w:rPr>
          <w:rFonts w:ascii="Arial" w:hAnsi="Arial" w:cs="Arial"/>
        </w:rPr>
        <w:t>OWD’s share (percentage of participation) in the cost of the original equipment.</w:t>
      </w:r>
    </w:p>
    <w:p w14:paraId="2C705733" w14:textId="77777777" w:rsidR="00CF5B55" w:rsidRDefault="00CF5B55" w:rsidP="00CF5B55">
      <w:pPr>
        <w:rPr>
          <w:rFonts w:ascii="Arial" w:hAnsi="Arial" w:cs="Arial"/>
        </w:rPr>
      </w:pPr>
    </w:p>
    <w:p w14:paraId="7B4CDA21" w14:textId="77777777" w:rsidR="00352605" w:rsidRDefault="00352605" w:rsidP="00CF5B55">
      <w:pPr>
        <w:rPr>
          <w:rFonts w:ascii="Arial" w:hAnsi="Arial" w:cs="Arial"/>
        </w:rPr>
      </w:pPr>
    </w:p>
    <w:p w14:paraId="4ABD5558" w14:textId="77777777" w:rsidR="00352605" w:rsidRDefault="00352605" w:rsidP="00CF5B55">
      <w:pPr>
        <w:rPr>
          <w:rFonts w:ascii="Arial" w:hAnsi="Arial" w:cs="Arial"/>
        </w:rPr>
      </w:pPr>
    </w:p>
    <w:sectPr w:rsidR="00352605" w:rsidSect="00D11092">
      <w:type w:val="continuous"/>
      <w:pgSz w:w="12240" w:h="15840"/>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319DE" w14:textId="77777777" w:rsidR="002D47D8" w:rsidRDefault="002D47D8" w:rsidP="007F630D">
      <w:r>
        <w:separator/>
      </w:r>
    </w:p>
  </w:endnote>
  <w:endnote w:type="continuationSeparator" w:id="0">
    <w:p w14:paraId="6FC45042" w14:textId="77777777" w:rsidR="002D47D8" w:rsidRDefault="002D47D8" w:rsidP="007F6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391F" w14:textId="77777777" w:rsidR="000B2B27" w:rsidRDefault="000B2B27" w:rsidP="000B2B27">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69E45B83" w14:textId="77777777" w:rsidR="000B2B27" w:rsidRPr="009830D0" w:rsidRDefault="000B2B27" w:rsidP="000B2B27">
    <w:pPr>
      <w:pStyle w:val="Footer"/>
      <w:jc w:val="center"/>
      <w:rPr>
        <w:rFonts w:ascii="Arial" w:hAnsi="Arial" w:cs="Arial"/>
        <w:iCs/>
        <w:sz w:val="16"/>
        <w:szCs w:val="16"/>
      </w:rPr>
    </w:pPr>
  </w:p>
  <w:p w14:paraId="7897972A" w14:textId="77777777" w:rsidR="000B2B27" w:rsidRDefault="000B2B27" w:rsidP="000B2B27">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6A8F19A5" w14:textId="77777777" w:rsidR="000B2B27" w:rsidRPr="009830D0" w:rsidRDefault="000B2B27" w:rsidP="000B2B27">
    <w:pPr>
      <w:pStyle w:val="Footer"/>
      <w:rPr>
        <w:rFonts w:ascii="Arial" w:hAnsi="Arial" w:cs="Arial"/>
        <w:iCs/>
        <w:sz w:val="16"/>
        <w:szCs w:val="16"/>
      </w:rPr>
    </w:pPr>
  </w:p>
  <w:p w14:paraId="0ED7C4A8" w14:textId="77777777" w:rsidR="000B2B27" w:rsidRPr="00F85AA2" w:rsidRDefault="000B2B27" w:rsidP="000B2B27">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7A5A07C0" w14:textId="77777777" w:rsidR="000B2B27" w:rsidRDefault="000B2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A5B9B" w14:textId="77777777" w:rsidR="002D47D8" w:rsidRDefault="002D47D8" w:rsidP="007F630D">
      <w:r>
        <w:separator/>
      </w:r>
    </w:p>
  </w:footnote>
  <w:footnote w:type="continuationSeparator" w:id="0">
    <w:p w14:paraId="6E0B92A4" w14:textId="77777777" w:rsidR="002D47D8" w:rsidRDefault="002D47D8" w:rsidP="007F6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2914" w14:textId="77777777" w:rsidR="00D11092" w:rsidRDefault="00D11092" w:rsidP="00D11092">
    <w:pPr>
      <w:pStyle w:val="Title"/>
      <w:rPr>
        <w:rFonts w:ascii="Tahoma" w:hAnsi="Tahoma" w:cs="Tahoma"/>
        <w:sz w:val="40"/>
      </w:rPr>
    </w:pPr>
    <w:r>
      <w:rPr>
        <w:noProof/>
        <w14:ligatures w14:val="standardContextual"/>
      </w:rPr>
      <w:drawing>
        <wp:anchor distT="0" distB="0" distL="114300" distR="114300" simplePos="0" relativeHeight="251659264" behindDoc="1" locked="0" layoutInCell="1" allowOverlap="1" wp14:anchorId="13331D5D" wp14:editId="2AFA4524">
          <wp:simplePos x="0" y="0"/>
          <wp:positionH relativeFrom="column">
            <wp:posOffset>-109220</wp:posOffset>
          </wp:positionH>
          <wp:positionV relativeFrom="paragraph">
            <wp:posOffset>-293370</wp:posOffset>
          </wp:positionV>
          <wp:extent cx="1585596" cy="1086566"/>
          <wp:effectExtent l="0" t="0" r="0" b="0"/>
          <wp:wrapNone/>
          <wp:docPr id="939501673" name="Picture 93950167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6BE38A07" w14:textId="77777777" w:rsidR="00D11092" w:rsidRDefault="00D11092" w:rsidP="00D11092">
    <w:pPr>
      <w:pStyle w:val="Title"/>
      <w:rPr>
        <w:rFonts w:ascii="Tahoma" w:hAnsi="Tahoma" w:cs="Tahoma"/>
        <w:sz w:val="40"/>
      </w:rPr>
    </w:pPr>
    <w:r>
      <w:rPr>
        <w:rFonts w:ascii="Tahoma" w:hAnsi="Tahoma" w:cs="Tahoma"/>
        <w:sz w:val="40"/>
      </w:rPr>
      <w:t>POLICIES/PROCEDURES</w:t>
    </w:r>
  </w:p>
  <w:p w14:paraId="00B39E51" w14:textId="273BE61F" w:rsidR="00464B80" w:rsidRDefault="00464B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6B78" w14:textId="77777777" w:rsidR="007E0EC1" w:rsidRDefault="007E0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58DB"/>
    <w:multiLevelType w:val="hybridMultilevel"/>
    <w:tmpl w:val="2500C2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44850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EwsLE0tDC3NDc2MjQyUdpeDU4uLM/DyQApNaAAsGz5AsAAAA"/>
  </w:docVars>
  <w:rsids>
    <w:rsidRoot w:val="00CF5B55"/>
    <w:rsid w:val="0007297A"/>
    <w:rsid w:val="000B2B27"/>
    <w:rsid w:val="000C61BB"/>
    <w:rsid w:val="00120B48"/>
    <w:rsid w:val="001F5530"/>
    <w:rsid w:val="002276EE"/>
    <w:rsid w:val="00243AF7"/>
    <w:rsid w:val="00252D33"/>
    <w:rsid w:val="00266FAE"/>
    <w:rsid w:val="002B5576"/>
    <w:rsid w:val="002D47D8"/>
    <w:rsid w:val="002D65B5"/>
    <w:rsid w:val="002E0F27"/>
    <w:rsid w:val="0033165C"/>
    <w:rsid w:val="00347CA6"/>
    <w:rsid w:val="00352605"/>
    <w:rsid w:val="00366E7A"/>
    <w:rsid w:val="00464B80"/>
    <w:rsid w:val="00491F3E"/>
    <w:rsid w:val="00494584"/>
    <w:rsid w:val="0052075C"/>
    <w:rsid w:val="00520914"/>
    <w:rsid w:val="00525D24"/>
    <w:rsid w:val="00572CAC"/>
    <w:rsid w:val="00585721"/>
    <w:rsid w:val="005B4374"/>
    <w:rsid w:val="005C10B2"/>
    <w:rsid w:val="00604F2B"/>
    <w:rsid w:val="00675EA4"/>
    <w:rsid w:val="00690817"/>
    <w:rsid w:val="006B7967"/>
    <w:rsid w:val="006C60A7"/>
    <w:rsid w:val="006D7A6A"/>
    <w:rsid w:val="006E6726"/>
    <w:rsid w:val="007538FE"/>
    <w:rsid w:val="00771EEA"/>
    <w:rsid w:val="007967E4"/>
    <w:rsid w:val="007E0EC1"/>
    <w:rsid w:val="007F630D"/>
    <w:rsid w:val="00871949"/>
    <w:rsid w:val="00886C2A"/>
    <w:rsid w:val="00971AD6"/>
    <w:rsid w:val="00976259"/>
    <w:rsid w:val="009A0C51"/>
    <w:rsid w:val="009C4957"/>
    <w:rsid w:val="009D21C8"/>
    <w:rsid w:val="009E4CA9"/>
    <w:rsid w:val="00A20F83"/>
    <w:rsid w:val="00A86DCD"/>
    <w:rsid w:val="00AA5636"/>
    <w:rsid w:val="00AA5ECB"/>
    <w:rsid w:val="00AF609D"/>
    <w:rsid w:val="00B25D10"/>
    <w:rsid w:val="00B33652"/>
    <w:rsid w:val="00B80989"/>
    <w:rsid w:val="00B85522"/>
    <w:rsid w:val="00B959B2"/>
    <w:rsid w:val="00C24606"/>
    <w:rsid w:val="00C32661"/>
    <w:rsid w:val="00C506AA"/>
    <w:rsid w:val="00C54BDA"/>
    <w:rsid w:val="00C5530F"/>
    <w:rsid w:val="00CB6BEC"/>
    <w:rsid w:val="00CC2684"/>
    <w:rsid w:val="00CF5B55"/>
    <w:rsid w:val="00D004A4"/>
    <w:rsid w:val="00D02E97"/>
    <w:rsid w:val="00D11092"/>
    <w:rsid w:val="00D36AB2"/>
    <w:rsid w:val="00D4232C"/>
    <w:rsid w:val="00D72444"/>
    <w:rsid w:val="00DB1AC0"/>
    <w:rsid w:val="00E01B37"/>
    <w:rsid w:val="00E62438"/>
    <w:rsid w:val="00E745EF"/>
    <w:rsid w:val="00E86A48"/>
    <w:rsid w:val="00EB68E7"/>
    <w:rsid w:val="00F66D05"/>
    <w:rsid w:val="00FE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88B11"/>
  <w15:chartTrackingRefBased/>
  <w15:docId w15:val="{CCC20B89-9B95-4766-9180-B3C04339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B5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F5B55"/>
    <w:pPr>
      <w:jc w:val="center"/>
    </w:pPr>
    <w:rPr>
      <w:rFonts w:ascii="Arial Narrow" w:hAnsi="Arial Narrow" w:cs="Arial"/>
      <w:sz w:val="32"/>
    </w:rPr>
  </w:style>
  <w:style w:type="character" w:customStyle="1" w:styleId="TitleChar">
    <w:name w:val="Title Char"/>
    <w:basedOn w:val="DefaultParagraphFont"/>
    <w:link w:val="Title"/>
    <w:rsid w:val="00CF5B55"/>
    <w:rPr>
      <w:rFonts w:ascii="Arial Narrow" w:eastAsia="Times New Roman" w:hAnsi="Arial Narrow" w:cs="Arial"/>
      <w:kern w:val="0"/>
      <w:sz w:val="32"/>
      <w:szCs w:val="24"/>
      <w14:ligatures w14:val="none"/>
    </w:rPr>
  </w:style>
  <w:style w:type="paragraph" w:styleId="Header">
    <w:name w:val="header"/>
    <w:basedOn w:val="Normal"/>
    <w:link w:val="HeaderChar"/>
    <w:uiPriority w:val="99"/>
    <w:unhideWhenUsed/>
    <w:rsid w:val="007F630D"/>
    <w:pPr>
      <w:tabs>
        <w:tab w:val="center" w:pos="4680"/>
        <w:tab w:val="right" w:pos="9360"/>
      </w:tabs>
    </w:pPr>
  </w:style>
  <w:style w:type="character" w:customStyle="1" w:styleId="HeaderChar">
    <w:name w:val="Header Char"/>
    <w:basedOn w:val="DefaultParagraphFont"/>
    <w:link w:val="Header"/>
    <w:uiPriority w:val="99"/>
    <w:rsid w:val="007F630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7F630D"/>
    <w:pPr>
      <w:tabs>
        <w:tab w:val="center" w:pos="4680"/>
        <w:tab w:val="right" w:pos="9360"/>
      </w:tabs>
    </w:pPr>
  </w:style>
  <w:style w:type="character" w:customStyle="1" w:styleId="FooterChar">
    <w:name w:val="Footer Char"/>
    <w:basedOn w:val="DefaultParagraphFont"/>
    <w:link w:val="Footer"/>
    <w:uiPriority w:val="99"/>
    <w:rsid w:val="007F630D"/>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F2C8E-E0A7-4050-9BB2-CCCB3192696E}">
  <ds:schemaRefs>
    <ds:schemaRef ds:uri="http://schemas.microsoft.com/sharepoint/v3/contenttype/forms"/>
  </ds:schemaRefs>
</ds:datastoreItem>
</file>

<file path=customXml/itemProps2.xml><?xml version="1.0" encoding="utf-8"?>
<ds:datastoreItem xmlns:ds="http://schemas.openxmlformats.org/officeDocument/2006/customXml" ds:itemID="{3FC9104F-B9D5-4346-8D97-4C5289595A4D}">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customXml/itemProps3.xml><?xml version="1.0" encoding="utf-8"?>
<ds:datastoreItem xmlns:ds="http://schemas.openxmlformats.org/officeDocument/2006/customXml" ds:itemID="{9CD8EC7F-A166-4FFF-B00A-FDB4E24C2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888</Words>
  <Characters>5065</Characters>
  <Application>Microsoft Office Word</Application>
  <DocSecurity>0</DocSecurity>
  <Lines>42</Lines>
  <Paragraphs>11</Paragraphs>
  <ScaleCrop>false</ScaleCrop>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Jeanie</dc:creator>
  <cp:keywords/>
  <dc:description/>
  <cp:lastModifiedBy>Brent Stevens</cp:lastModifiedBy>
  <cp:revision>47</cp:revision>
  <dcterms:created xsi:type="dcterms:W3CDTF">2025-05-13T14:51:00Z</dcterms:created>
  <dcterms:modified xsi:type="dcterms:W3CDTF">2025-05-15T15:34:00Z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